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604C07AE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6C7947" w:rsidRPr="006C7947">
        <w:rPr>
          <w:rFonts w:ascii="Arial" w:hAnsi="Arial" w:cs="Arial"/>
          <w:b/>
          <w:bCs/>
          <w:lang w:val="en-US" w:eastAsia="en-US"/>
        </w:rPr>
        <w:t>R2-2108802</w:t>
      </w:r>
      <w:bookmarkStart w:id="1" w:name="_GoBack"/>
      <w:bookmarkEnd w:id="1"/>
    </w:p>
    <w:bookmarkEnd w:id="0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613E62E0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C3919" w:rsidRPr="00DC3919">
        <w:rPr>
          <w:rFonts w:ascii="Arial" w:hAnsi="Arial" w:cs="Arial"/>
          <w:b/>
          <w:bCs/>
          <w:lang w:val="en-US"/>
        </w:rPr>
        <w:t>Serving cell measurement for mTRP</w:t>
      </w:r>
    </w:p>
    <w:p w14:paraId="12450CE5" w14:textId="7BD29F0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8.17.2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0A7454F4" w14:textId="27993532" w:rsidR="00590C36" w:rsidRDefault="00F073FA" w:rsidP="00140B1F">
      <w:r>
        <w:t xml:space="preserve">According to the RAN2#114-e meeting discussion on the </w:t>
      </w:r>
      <w:r w:rsidR="00004180" w:rsidRPr="005E73D4">
        <w:t xml:space="preserve">L1/L2-centric inter-cell beam management </w:t>
      </w:r>
      <w:r>
        <w:t>for feMIMO, RAN2 made the following agreements for mTRP</w:t>
      </w:r>
      <w:r w:rsidR="00C47B1F">
        <w:t>-like</w:t>
      </w:r>
      <w:r>
        <w:t xml:space="preserve">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E0D" w14:paraId="728EE6BD" w14:textId="77777777" w:rsidTr="007A3E0D">
        <w:tc>
          <w:tcPr>
            <w:tcW w:w="9855" w:type="dxa"/>
          </w:tcPr>
          <w:p w14:paraId="7F904A67" w14:textId="77777777" w:rsidR="008D5DDD" w:rsidRDefault="008D5DDD" w:rsidP="008D5DDD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 confirm the simplified procedures on the inter-cell multi-TRP-like model as a baseline RAN2 understanding:</w:t>
            </w:r>
          </w:p>
          <w:p w14:paraId="5D833FF0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Scenario 1: Inter-cell multi-TRP-like model </w:t>
            </w:r>
          </w:p>
          <w:p w14:paraId="0F38B108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1. UE receives from serving cell, configuration of SSBs of the TRP with different PCI for beam measurement, and configurations needed to use radio resources for data transmission/reception incl resources for differet PCI. </w:t>
            </w:r>
          </w:p>
          <w:p w14:paraId="0CEC4764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2. UE performs beam measurement for the TRP with different PCI and report it to serving cell.</w:t>
            </w:r>
          </w:p>
          <w:p w14:paraId="5F7B85BE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3. Based on the above reports, TCI state(s) associated to the TRP with different PCI is activated from the serving cell (by L1/L2 signaling). </w:t>
            </w:r>
          </w:p>
          <w:p w14:paraId="20C6AFA1" w14:textId="77777777" w:rsidR="008D5DDD" w:rsidRDefault="008D5DDD" w:rsidP="008D5D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4. UE receives and transmits using UE-dedicated channel on TRP with different PCI. </w:t>
            </w:r>
          </w:p>
          <w:p w14:paraId="02CC4C11" w14:textId="4F50F977" w:rsidR="007A3E0D" w:rsidRPr="009D4214" w:rsidRDefault="008D5DDD" w:rsidP="009D4214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5. UE should be in coverage of a serving cell always, also for multi-TRP case, e.g. UE should use common channels BCCH PCH etc. from the serving cell (as in legacy). </w:t>
            </w:r>
          </w:p>
        </w:tc>
      </w:tr>
    </w:tbl>
    <w:p w14:paraId="3C1345C8" w14:textId="2FA70171" w:rsidR="00F073FA" w:rsidRDefault="00767D92" w:rsidP="00140B1F">
      <w:r>
        <w:t xml:space="preserve">According to the RAN#92-e meeting discussion, RAN decided to </w:t>
      </w:r>
      <w:r w:rsidR="00572BA3">
        <w:t xml:space="preserve">only consider the </w:t>
      </w:r>
      <w:r w:rsidR="00C05063">
        <w:t>“</w:t>
      </w:r>
      <w:r w:rsidR="00C05063">
        <w:rPr>
          <w:i/>
          <w:color w:val="000000" w:themeColor="text1"/>
          <w:sz w:val="20"/>
        </w:rPr>
        <w:t>inter-cell-mTRP-like model</w:t>
      </w:r>
      <w:r w:rsidR="00C05063">
        <w:t>” in Rel-17.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34F2" w14:paraId="79578E5B" w14:textId="77777777" w:rsidTr="006B34F2">
        <w:tc>
          <w:tcPr>
            <w:tcW w:w="9855" w:type="dxa"/>
          </w:tcPr>
          <w:p w14:paraId="64183909" w14:textId="77777777" w:rsidR="006B34F2" w:rsidRDefault="006B34F2" w:rsidP="006B34F2">
            <w:pPr>
              <w:snapToGrid w:val="0"/>
              <w:spacing w:after="60"/>
              <w:rPr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Proposed way forward (WF) (outcome of the intermediate round)</w:t>
            </w:r>
            <w:r>
              <w:rPr>
                <w:color w:val="000000" w:themeColor="text1"/>
                <w:sz w:val="20"/>
              </w:rPr>
              <w:t xml:space="preserve">: </w:t>
            </w:r>
          </w:p>
          <w:p w14:paraId="10510A0E" w14:textId="77777777" w:rsidR="006B34F2" w:rsidRDefault="006B34F2" w:rsidP="006B34F2">
            <w:pPr>
              <w:snapToGrid w:val="0"/>
              <w:spacing w:after="60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On the scope of Rel-17 NR_FeMIMO:</w:t>
            </w:r>
          </w:p>
          <w:p w14:paraId="0FFB7143" w14:textId="3DEB83CC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RAN confirms that inter-cell mTRP in RAN1 work only considers multi-DCI and multi-PDSCH reception (per WI objective). Any scheme tailored for reception of a single PDCCH and/or a single PDSCH is not supported in Rel-17 mTRP.</w:t>
            </w:r>
          </w:p>
          <w:p w14:paraId="3C34D754" w14:textId="77777777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Regarding scope and workflow of L1/L2-centric inter-cell beam management for multi-beam enhancement, for Rel-17:</w:t>
            </w:r>
          </w:p>
          <w:p w14:paraId="52359000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scenario for inter-cell-mTRP-like model (with no change in serving cell) will be considered in Rel-17. </w:t>
            </w:r>
          </w:p>
          <w:p w14:paraId="6BE22BB6" w14:textId="3DC912A6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Scenarios where change in serving cell via a L1/L2-triggered handover scheme are not considered in Rel-17 and may be considered in Rel-18</w:t>
            </w:r>
          </w:p>
          <w:p w14:paraId="5EB3CB8B" w14:textId="65DD438B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Further discuss how to clarify the Rel-17 objectives associated with scenario 1 for L1/L2-centric inter-cell beam management (during later round(s))</w:t>
            </w:r>
          </w:p>
          <w:p w14:paraId="32947906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intra-DU and intra-frequency scenarios will be considered in Rel-17 (excluding inter-DU or inter-frequency scenarios) </w:t>
            </w:r>
          </w:p>
          <w:p w14:paraId="4DB6D007" w14:textId="5176EA8B" w:rsidR="006B34F2" w:rsidRPr="005841FA" w:rsidRDefault="006B34F2" w:rsidP="00140B1F">
            <w:pPr>
              <w:pStyle w:val="ListParagraph"/>
              <w:numPr>
                <w:ilvl w:val="1"/>
                <w:numId w:val="39"/>
              </w:numPr>
              <w:tabs>
                <w:tab w:val="num" w:pos="1002"/>
              </w:tabs>
              <w:snapToGrid w:val="0"/>
              <w:spacing w:after="60" w:line="256" w:lineRule="auto"/>
              <w:ind w:left="1002" w:firstLineChars="0" w:hanging="576"/>
              <w:contextualSpacing/>
              <w:jc w:val="both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In RAN1#106-e, conclude on the</w:t>
            </w:r>
            <w:r>
              <w:rPr>
                <w:rFonts w:eastAsia="Calibri"/>
                <w:i/>
                <w:sz w:val="20"/>
                <w:szCs w:val="20"/>
              </w:rPr>
              <w:t xml:space="preserve"> synchronization and the timing advance assumptions between the cells</w:t>
            </w:r>
          </w:p>
        </w:tc>
      </w:tr>
    </w:tbl>
    <w:p w14:paraId="6B3D698A" w14:textId="5020A6C9" w:rsidR="00FD1DE8" w:rsidRDefault="005841FA" w:rsidP="00140B1F">
      <w:r>
        <w:t xml:space="preserve">In this contribution, we discuss the RAN2 serving cell measurement impacts brought by the </w:t>
      </w:r>
      <w:r w:rsidR="00327DC1">
        <w:t>“</w:t>
      </w:r>
      <w:r w:rsidR="00327DC1">
        <w:rPr>
          <w:i/>
          <w:color w:val="000000" w:themeColor="text1"/>
          <w:sz w:val="20"/>
        </w:rPr>
        <w:t>inter-cell-mTRP-like model</w:t>
      </w:r>
      <w:r w:rsidR="00327DC1">
        <w:t>”.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lastRenderedPageBreak/>
        <w:t>Discussion</w:t>
      </w:r>
    </w:p>
    <w:p w14:paraId="49935D21" w14:textId="61D3E7BD" w:rsidR="00B02966" w:rsidRPr="00C71CD7" w:rsidRDefault="006C0EE6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Serving cell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5368" w14:paraId="42BD2422" w14:textId="77777777" w:rsidTr="00462EB1">
        <w:tc>
          <w:tcPr>
            <w:tcW w:w="9855" w:type="dxa"/>
          </w:tcPr>
          <w:p w14:paraId="282230F6" w14:textId="77777777" w:rsidR="008C5368" w:rsidRDefault="008C5368" w:rsidP="00462EB1">
            <w:pPr>
              <w:rPr>
                <w:lang w:eastAsia="ko-KR"/>
              </w:rPr>
            </w:pPr>
            <w:r w:rsidRPr="00E41FC9">
              <w:rPr>
                <w:noProof/>
                <w:lang w:val="en-US"/>
              </w:rPr>
              <w:drawing>
                <wp:inline distT="0" distB="0" distL="0" distR="0" wp14:anchorId="2FF68F53" wp14:editId="20E525D8">
                  <wp:extent cx="6114415" cy="287020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368" w14:paraId="028E80F9" w14:textId="77777777" w:rsidTr="00462EB1">
        <w:tc>
          <w:tcPr>
            <w:tcW w:w="9855" w:type="dxa"/>
          </w:tcPr>
          <w:p w14:paraId="6D20133A" w14:textId="162B0866" w:rsidR="008C5368" w:rsidRPr="00E41FC9" w:rsidRDefault="009B76FC" w:rsidP="00462EB1">
            <w:pPr>
              <w:rPr>
                <w:noProof/>
                <w:lang w:val="en-US"/>
              </w:rPr>
            </w:pPr>
            <w:r w:rsidRPr="009B76FC">
              <w:rPr>
                <w:noProof/>
                <w:lang w:val="en-US"/>
              </w:rPr>
              <w:drawing>
                <wp:inline distT="0" distB="0" distL="0" distR="0" wp14:anchorId="19253ED7" wp14:editId="32162235">
                  <wp:extent cx="6114415" cy="3490595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34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1FCCC2" w14:textId="3A8CE419" w:rsidR="00593F2C" w:rsidRDefault="00593F2C" w:rsidP="0085302D">
      <w:pPr>
        <w:rPr>
          <w:lang w:eastAsia="ko-KR"/>
        </w:rPr>
      </w:pPr>
      <w:r>
        <w:rPr>
          <w:lang w:eastAsia="ko-KR"/>
        </w:rPr>
        <w:t>According to</w:t>
      </w:r>
      <w:r w:rsidR="00225579">
        <w:rPr>
          <w:lang w:eastAsia="ko-KR"/>
        </w:rPr>
        <w:t xml:space="preserve"> the current RRC specification [3]</w:t>
      </w:r>
      <w:r w:rsidR="00793C61">
        <w:rPr>
          <w:lang w:eastAsia="ko-KR"/>
        </w:rPr>
        <w:t xml:space="preserve"> as quoted </w:t>
      </w:r>
      <w:r w:rsidR="00C91410">
        <w:rPr>
          <w:lang w:eastAsia="ko-KR"/>
        </w:rPr>
        <w:t>above</w:t>
      </w:r>
      <w:r w:rsidR="00225579">
        <w:rPr>
          <w:lang w:eastAsia="ko-KR"/>
        </w:rPr>
        <w:t>,</w:t>
      </w:r>
      <w:r w:rsidR="004D26CA">
        <w:rPr>
          <w:lang w:eastAsia="ko-KR"/>
        </w:rPr>
        <w:t xml:space="preserve"> the UE would only measure the frequency of the serving cell, as provided by the </w:t>
      </w:r>
      <w:r w:rsidR="002A3DF9" w:rsidRPr="00DE5341">
        <w:rPr>
          <w:i/>
        </w:rPr>
        <w:t>servingCellMO</w:t>
      </w:r>
      <w:r w:rsidR="00061D23">
        <w:t xml:space="preserve"> in the </w:t>
      </w:r>
      <w:r w:rsidR="00061D23" w:rsidRPr="008E63B7">
        <w:rPr>
          <w:i/>
        </w:rPr>
        <w:t>ServingCellConfig</w:t>
      </w:r>
      <w:r w:rsidR="00061D23">
        <w:t xml:space="preserve"> IE.</w:t>
      </w:r>
      <w:r w:rsidR="00793C61">
        <w:t xml:space="preserve"> The </w:t>
      </w:r>
      <w:r w:rsidR="0094773C" w:rsidRPr="00DE5341">
        <w:rPr>
          <w:i/>
        </w:rPr>
        <w:t>servingCellMO</w:t>
      </w:r>
      <w:r w:rsidR="0094773C">
        <w:t xml:space="preserve"> contains the measurement object</w:t>
      </w:r>
      <w:r w:rsidR="00822082">
        <w:t xml:space="preserve"> providing the </w:t>
      </w:r>
      <w:r w:rsidR="00553BB5">
        <w:t xml:space="preserve">measurement frequency (i.e. </w:t>
      </w:r>
      <w:r w:rsidR="00BE549B">
        <w:t>ssbFrequency</w:t>
      </w:r>
      <w:r w:rsidR="00553BB5">
        <w:t>)</w:t>
      </w:r>
      <w:r w:rsidR="00C14C5B">
        <w:t>,</w:t>
      </w:r>
      <w:r w:rsidR="00BE549B">
        <w:t xml:space="preserve"> the </w:t>
      </w:r>
      <w:r w:rsidR="00D95643">
        <w:t>reference signal configuration</w:t>
      </w:r>
      <w:r w:rsidR="005A78B1">
        <w:t xml:space="preserve"> (i</w:t>
      </w:r>
      <w:r w:rsidR="008375FD">
        <w:t>.e. referenceSignalConfig</w:t>
      </w:r>
      <w:r w:rsidR="005A78B1">
        <w:t>)</w:t>
      </w:r>
      <w:r w:rsidR="00C14C5B">
        <w:t>, and the cell-specific</w:t>
      </w:r>
      <w:r w:rsidR="00F95A1C">
        <w:t xml:space="preserve"> offsets</w:t>
      </w:r>
      <w:r w:rsidR="00C14C5B">
        <w:t xml:space="preserve"> (i.e. </w:t>
      </w:r>
      <w:r w:rsidR="00C106BD">
        <w:t>cellsToAddModList</w:t>
      </w:r>
      <w:r w:rsidR="00C14C5B">
        <w:t>)</w:t>
      </w:r>
      <w:r w:rsidR="0019637A">
        <w:t>.</w:t>
      </w:r>
      <w:r w:rsidR="004F32DD">
        <w:t xml:space="preserve"> According to the current </w:t>
      </w:r>
      <w:r w:rsidR="004F32DD" w:rsidRPr="00DE5341">
        <w:rPr>
          <w:i/>
        </w:rPr>
        <w:t>servingCellMO</w:t>
      </w:r>
      <w:r w:rsidR="004F32DD">
        <w:t xml:space="preserve"> configuration, the UE can obtain the measurement results of multiple PCI(s)</w:t>
      </w:r>
      <w:r w:rsidR="00450347">
        <w:t xml:space="preserve"> including the serving cell PCI</w:t>
      </w:r>
      <w:r w:rsidR="009349AB">
        <w:t>s, when multiple PCIs are associated to the same serving cell</w:t>
      </w:r>
      <w:r w:rsidR="0010467F">
        <w:t>.</w:t>
      </w:r>
    </w:p>
    <w:p w14:paraId="169AFE85" w14:textId="77777777" w:rsidR="00E62B2C" w:rsidRPr="00F13B6A" w:rsidRDefault="00E62B2C" w:rsidP="00E62B2C">
      <w:pPr>
        <w:rPr>
          <w:b/>
          <w:lang w:eastAsia="ko-KR"/>
        </w:rPr>
      </w:pPr>
      <w:r w:rsidRPr="00F13B6A">
        <w:rPr>
          <w:b/>
          <w:lang w:eastAsia="ko-KR"/>
        </w:rPr>
        <w:lastRenderedPageBreak/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350" w14:paraId="21914B25" w14:textId="77777777" w:rsidTr="001E0350">
        <w:tc>
          <w:tcPr>
            <w:tcW w:w="9855" w:type="dxa"/>
          </w:tcPr>
          <w:p w14:paraId="1DC82071" w14:textId="006032AD" w:rsidR="001E0350" w:rsidRDefault="00EF64B3" w:rsidP="0085302D">
            <w:pPr>
              <w:rPr>
                <w:lang w:eastAsia="ko-KR"/>
              </w:rPr>
            </w:pPr>
            <w:r w:rsidRPr="00EF64B3">
              <w:rPr>
                <w:noProof/>
                <w:lang w:val="en-US"/>
              </w:rPr>
              <w:drawing>
                <wp:inline distT="0" distB="0" distL="0" distR="0" wp14:anchorId="60CE0BBD" wp14:editId="16CAE281">
                  <wp:extent cx="6114415" cy="139954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E99" w14:paraId="56365D4B" w14:textId="77777777" w:rsidTr="001E0350">
        <w:tc>
          <w:tcPr>
            <w:tcW w:w="9855" w:type="dxa"/>
          </w:tcPr>
          <w:p w14:paraId="01D7FDF5" w14:textId="390457F6" w:rsidR="00D15E99" w:rsidRPr="00EF64B3" w:rsidRDefault="00D15E99" w:rsidP="0085302D">
            <w:pPr>
              <w:rPr>
                <w:noProof/>
                <w:lang w:val="en-US"/>
              </w:rPr>
            </w:pPr>
            <w:r w:rsidRPr="00D15E99">
              <w:rPr>
                <w:noProof/>
                <w:lang w:val="en-US"/>
              </w:rPr>
              <w:drawing>
                <wp:inline distT="0" distB="0" distL="0" distR="0" wp14:anchorId="4429CD70" wp14:editId="14C086E9">
                  <wp:extent cx="6114415" cy="4070985"/>
                  <wp:effectExtent l="0" t="0" r="63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407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3C8" w14:paraId="3648E030" w14:textId="77777777" w:rsidTr="001E0350">
        <w:tc>
          <w:tcPr>
            <w:tcW w:w="9855" w:type="dxa"/>
          </w:tcPr>
          <w:p w14:paraId="2F3F9BCD" w14:textId="487CE9A0" w:rsidR="003C53C8" w:rsidRPr="00D15E99" w:rsidRDefault="003C53C8" w:rsidP="0085302D">
            <w:pPr>
              <w:rPr>
                <w:noProof/>
                <w:lang w:val="en-US"/>
              </w:rPr>
            </w:pPr>
            <w:r w:rsidRPr="003C53C8">
              <w:rPr>
                <w:noProof/>
                <w:lang w:val="en-US"/>
              </w:rPr>
              <w:drawing>
                <wp:inline distT="0" distB="0" distL="0" distR="0" wp14:anchorId="47791839" wp14:editId="1A51A03C">
                  <wp:extent cx="6114415" cy="1240155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721F79" w14:textId="414FFCC5" w:rsidR="00712E3A" w:rsidRDefault="00712E3A" w:rsidP="0085302D">
      <w:pPr>
        <w:rPr>
          <w:lang w:eastAsia="ko-KR"/>
        </w:rPr>
      </w:pPr>
      <w:r>
        <w:rPr>
          <w:lang w:eastAsia="ko-KR"/>
        </w:rPr>
        <w:t>According to the measurement report configuration as quoted above</w:t>
      </w:r>
      <w:r w:rsidR="009D6B52">
        <w:rPr>
          <w:lang w:eastAsia="ko-KR"/>
        </w:rPr>
        <w:t>, the event</w:t>
      </w:r>
      <w:r w:rsidR="00A724C5">
        <w:rPr>
          <w:lang w:eastAsia="ko-KR"/>
        </w:rPr>
        <w:t>-triggered or periodical measurement report configuration</w:t>
      </w:r>
      <w:r w:rsidR="009D6B52">
        <w:rPr>
          <w:lang w:eastAsia="ko-KR"/>
        </w:rPr>
        <w:t xml:space="preserve"> does not </w:t>
      </w:r>
      <w:r w:rsidR="00DC7084">
        <w:rPr>
          <w:lang w:eastAsia="ko-KR"/>
        </w:rPr>
        <w:t xml:space="preserve">indicate </w:t>
      </w:r>
      <w:r w:rsidR="004077D8">
        <w:rPr>
          <w:lang w:eastAsia="ko-KR"/>
        </w:rPr>
        <w:t xml:space="preserve">which </w:t>
      </w:r>
      <w:r w:rsidR="00DC7084">
        <w:rPr>
          <w:lang w:eastAsia="ko-KR"/>
        </w:rPr>
        <w:t>PCI</w:t>
      </w:r>
      <w:r w:rsidR="004077D8">
        <w:rPr>
          <w:lang w:eastAsia="ko-KR"/>
        </w:rPr>
        <w:t xml:space="preserve"> is</w:t>
      </w:r>
      <w:r w:rsidR="00DC7084">
        <w:rPr>
          <w:lang w:eastAsia="ko-KR"/>
        </w:rPr>
        <w:t xml:space="preserve"> used for the </w:t>
      </w:r>
      <w:r w:rsidR="00B336F7">
        <w:rPr>
          <w:lang w:eastAsia="ko-KR"/>
        </w:rPr>
        <w:t xml:space="preserve">measurement </w:t>
      </w:r>
      <w:r w:rsidR="00DC7084">
        <w:rPr>
          <w:lang w:eastAsia="ko-KR"/>
        </w:rPr>
        <w:t>event evaluation</w:t>
      </w:r>
      <w:r w:rsidR="00FE4D40">
        <w:rPr>
          <w:lang w:eastAsia="ko-KR"/>
        </w:rPr>
        <w:t xml:space="preserve"> or which PCI needs to be reported</w:t>
      </w:r>
      <w:r w:rsidR="00FB6E6B">
        <w:rPr>
          <w:lang w:eastAsia="ko-KR"/>
        </w:rPr>
        <w:t xml:space="preserve"> (e.g. when a measurement event is triggered)</w:t>
      </w:r>
      <w:r w:rsidR="0044703D">
        <w:rPr>
          <w:lang w:eastAsia="ko-KR"/>
        </w:rPr>
        <w:t xml:space="preserve">, when </w:t>
      </w:r>
      <w:r w:rsidR="007E17EE">
        <w:t>multiple PCIs are associated to the same serving cell</w:t>
      </w:r>
      <w:r w:rsidR="00B96EA4">
        <w:t xml:space="preserve">. </w:t>
      </w:r>
    </w:p>
    <w:p w14:paraId="7A5DA95B" w14:textId="3B310EE1" w:rsidR="001255A5" w:rsidRDefault="006505B0" w:rsidP="0085302D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</w:t>
      </w:r>
      <w:r w:rsidR="007069D5">
        <w:rPr>
          <w:b/>
          <w:lang w:eastAsia="ko-KR"/>
        </w:rPr>
        <w:t xml:space="preserve">the UE needs to know which measurement </w:t>
      </w:r>
      <w:r w:rsidR="00D35D30">
        <w:rPr>
          <w:b/>
          <w:lang w:eastAsia="ko-KR"/>
        </w:rPr>
        <w:t>result of the serving cell</w:t>
      </w:r>
      <w:r w:rsidR="00560548">
        <w:rPr>
          <w:b/>
          <w:lang w:eastAsia="ko-KR"/>
        </w:rPr>
        <w:t xml:space="preserve"> PCI is used for the measurement event evaluation</w:t>
      </w:r>
      <w:r w:rsidR="00BC7529">
        <w:rPr>
          <w:b/>
          <w:lang w:eastAsia="ko-KR"/>
        </w:rPr>
        <w:t xml:space="preserve">, </w:t>
      </w:r>
      <w:r w:rsidR="00BC7529" w:rsidRPr="00F13B6A">
        <w:rPr>
          <w:b/>
        </w:rPr>
        <w:t>when multiple PCIs are associated to the same serving cell.</w:t>
      </w:r>
    </w:p>
    <w:p w14:paraId="305E9062" w14:textId="0A8166D2" w:rsidR="000F49A1" w:rsidRDefault="000F49A1" w:rsidP="0085302D">
      <w:pPr>
        <w:rPr>
          <w:b/>
          <w:lang w:eastAsia="ko-KR"/>
        </w:rPr>
      </w:pPr>
      <w:r>
        <w:rPr>
          <w:b/>
          <w:lang w:eastAsia="ko-KR"/>
        </w:rPr>
        <w:t xml:space="preserve">Observation </w:t>
      </w:r>
      <w:r w:rsidR="001203FE">
        <w:rPr>
          <w:b/>
          <w:lang w:eastAsia="ko-KR"/>
        </w:rPr>
        <w:t>3</w:t>
      </w:r>
      <w:r w:rsidR="005C678B">
        <w:rPr>
          <w:b/>
          <w:lang w:eastAsia="ko-KR"/>
        </w:rPr>
        <w:t>: In the measurement report</w:t>
      </w:r>
      <w:r w:rsidR="00291E9C">
        <w:rPr>
          <w:b/>
          <w:lang w:eastAsia="ko-KR"/>
        </w:rPr>
        <w:t xml:space="preserve">, the UE needs to know </w:t>
      </w:r>
      <w:r w:rsidR="004B0253">
        <w:rPr>
          <w:b/>
          <w:lang w:eastAsia="ko-KR"/>
        </w:rPr>
        <w:t>which measurement result of the serving cell PCI</w:t>
      </w:r>
      <w:r w:rsidR="00E87113">
        <w:rPr>
          <w:b/>
          <w:lang w:eastAsia="ko-KR"/>
        </w:rPr>
        <w:t xml:space="preserve"> is reported</w:t>
      </w:r>
      <w:r w:rsidR="0015585C" w:rsidRPr="00F13B6A">
        <w:rPr>
          <w:b/>
        </w:rPr>
        <w:t>, when multiple PCIs are associated to the same serving cell.</w:t>
      </w:r>
    </w:p>
    <w:p w14:paraId="432C031B" w14:textId="0F13EA43" w:rsidR="006505B0" w:rsidRDefault="000753FE" w:rsidP="0085302D">
      <w:pPr>
        <w:rPr>
          <w:lang w:eastAsia="ko-KR"/>
        </w:rPr>
      </w:pPr>
      <w:r>
        <w:rPr>
          <w:lang w:eastAsia="ko-KR"/>
        </w:rPr>
        <w:t xml:space="preserve">To resolve the issue given in Observation 2, we consider that </w:t>
      </w:r>
      <w:r w:rsidR="00905EC1">
        <w:rPr>
          <w:lang w:eastAsia="ko-KR"/>
        </w:rPr>
        <w:t xml:space="preserve">the </w:t>
      </w:r>
      <w:r w:rsidR="00691808">
        <w:rPr>
          <w:lang w:eastAsia="ko-KR"/>
        </w:rPr>
        <w:t>gNB can indicate which serving PCI is used for the measurement event evaluation</w:t>
      </w:r>
      <w:r w:rsidR="00A5609B">
        <w:rPr>
          <w:lang w:eastAsia="ko-KR"/>
        </w:rPr>
        <w:t xml:space="preserve">. </w:t>
      </w:r>
    </w:p>
    <w:p w14:paraId="0A0ED46D" w14:textId="0FAA7450" w:rsidR="000A01E3" w:rsidRPr="00603B11" w:rsidRDefault="000A01E3" w:rsidP="0085302D">
      <w:pPr>
        <w:rPr>
          <w:b/>
          <w:lang w:eastAsia="ko-KR"/>
        </w:rPr>
      </w:pPr>
      <w:r w:rsidRPr="00603B11">
        <w:rPr>
          <w:b/>
          <w:lang w:eastAsia="ko-KR"/>
        </w:rPr>
        <w:t>Proposal 1:</w:t>
      </w:r>
      <w:r w:rsidR="00603B11" w:rsidRPr="00603B11">
        <w:rPr>
          <w:b/>
          <w:lang w:eastAsia="ko-KR"/>
        </w:rPr>
        <w:t xml:space="preserve"> </w:t>
      </w:r>
      <w:r w:rsidR="00603B11" w:rsidRPr="00603B11">
        <w:rPr>
          <w:b/>
        </w:rPr>
        <w:t>When multiple PCIs are associated to the same serving cell</w:t>
      </w:r>
      <w:r w:rsidR="007C2E58">
        <w:rPr>
          <w:b/>
        </w:rPr>
        <w:t xml:space="preserve">, the gNB indicates which </w:t>
      </w:r>
      <w:r w:rsidR="007C2E58">
        <w:rPr>
          <w:rFonts w:hint="eastAsia"/>
          <w:b/>
        </w:rPr>
        <w:t>PCI</w:t>
      </w:r>
      <w:r w:rsidR="007C2E58">
        <w:rPr>
          <w:b/>
        </w:rPr>
        <w:t xml:space="preserve"> is used </w:t>
      </w:r>
      <w:r w:rsidR="004126BB">
        <w:rPr>
          <w:b/>
        </w:rPr>
        <w:t xml:space="preserve">for </w:t>
      </w:r>
      <w:r w:rsidR="00EB1E87">
        <w:rPr>
          <w:b/>
        </w:rPr>
        <w:t xml:space="preserve">the </w:t>
      </w:r>
      <w:r w:rsidR="004126BB">
        <w:rPr>
          <w:b/>
        </w:rPr>
        <w:t>measurement event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730A" w14:paraId="11E01D05" w14:textId="77777777" w:rsidTr="00B0730A">
        <w:tc>
          <w:tcPr>
            <w:tcW w:w="9855" w:type="dxa"/>
          </w:tcPr>
          <w:p w14:paraId="4BA19BBA" w14:textId="3EA23644" w:rsidR="00B0730A" w:rsidRDefault="00802E53" w:rsidP="0085302D">
            <w:pPr>
              <w:rPr>
                <w:lang w:eastAsia="ko-KR"/>
              </w:rPr>
            </w:pPr>
            <w:r w:rsidRPr="00802E53">
              <w:rPr>
                <w:noProof/>
                <w:lang w:val="en-US"/>
              </w:rPr>
              <w:drawing>
                <wp:inline distT="0" distB="0" distL="0" distR="0" wp14:anchorId="275DF199" wp14:editId="0796C8CE">
                  <wp:extent cx="6114415" cy="930275"/>
                  <wp:effectExtent l="0" t="0" r="63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5C4" w14:paraId="3AB1D46C" w14:textId="77777777" w:rsidTr="00B0730A">
        <w:tc>
          <w:tcPr>
            <w:tcW w:w="9855" w:type="dxa"/>
          </w:tcPr>
          <w:p w14:paraId="3E8CCD6E" w14:textId="2D44EF85" w:rsidR="003E45C4" w:rsidRPr="00B0730A" w:rsidRDefault="003E45C4" w:rsidP="0085302D">
            <w:pPr>
              <w:rPr>
                <w:noProof/>
                <w:lang w:val="en-US"/>
              </w:rPr>
            </w:pPr>
            <w:r w:rsidRPr="003E45C4">
              <w:rPr>
                <w:noProof/>
                <w:lang w:val="en-US"/>
              </w:rPr>
              <w:drawing>
                <wp:inline distT="0" distB="0" distL="0" distR="0" wp14:anchorId="7C9D73FD" wp14:editId="4C9FE5EF">
                  <wp:extent cx="6114415" cy="1979930"/>
                  <wp:effectExtent l="0" t="0" r="63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E5BBFE" w14:textId="63CFFEBA" w:rsidR="000753FE" w:rsidRDefault="00907031" w:rsidP="0085302D">
      <w:pPr>
        <w:rPr>
          <w:rFonts w:eastAsia="MS PGothic"/>
          <w:iCs/>
        </w:rPr>
      </w:pPr>
      <w:r>
        <w:rPr>
          <w:lang w:eastAsia="ko-KR"/>
        </w:rPr>
        <w:t>As quoted above, w</w:t>
      </w:r>
      <w:r w:rsidR="009E5A72">
        <w:rPr>
          <w:lang w:eastAsia="ko-KR"/>
        </w:rPr>
        <w:t>hen the UE needs to report the serving cell measurement results (e.g. piggybacked with other measurement results or periodic report)</w:t>
      </w:r>
      <w:r w:rsidR="0020324C">
        <w:rPr>
          <w:lang w:eastAsia="ko-KR"/>
        </w:rPr>
        <w:t>,</w:t>
      </w:r>
      <w:r w:rsidR="00E505F2">
        <w:rPr>
          <w:lang w:eastAsia="ko-KR"/>
        </w:rPr>
        <w:t xml:space="preserve"> the serving cell measurement result is included in the </w:t>
      </w:r>
      <w:r w:rsidR="008B3F4B" w:rsidRPr="00DE5341">
        <w:rPr>
          <w:rFonts w:eastAsia="MS PGothic"/>
          <w:i/>
          <w:iCs/>
        </w:rPr>
        <w:t>measResultServingCell</w:t>
      </w:r>
      <w:r w:rsidR="008B3F4B" w:rsidRPr="00DE5341">
        <w:rPr>
          <w:rFonts w:eastAsia="MS PGothic"/>
        </w:rPr>
        <w:t xml:space="preserve"> within </w:t>
      </w:r>
      <w:r w:rsidR="008B3F4B" w:rsidRPr="00DE5341">
        <w:rPr>
          <w:rFonts w:eastAsia="MS PGothic"/>
          <w:i/>
          <w:iCs/>
        </w:rPr>
        <w:t>measResultServingMOList</w:t>
      </w:r>
      <w:r w:rsidR="008B3F4B">
        <w:rPr>
          <w:rFonts w:eastAsia="MS PGothic"/>
          <w:iCs/>
        </w:rPr>
        <w:t xml:space="preserve">. </w:t>
      </w:r>
      <w:r w:rsidR="003F6F2F">
        <w:rPr>
          <w:rFonts w:eastAsia="MS PGothic"/>
          <w:iCs/>
        </w:rPr>
        <w:t xml:space="preserve">For each serving cell, the UE is only allowed to indicate </w:t>
      </w:r>
      <w:r w:rsidR="009A44DE">
        <w:rPr>
          <w:rFonts w:eastAsia="MS PGothic"/>
          <w:iCs/>
        </w:rPr>
        <w:t>one measurem</w:t>
      </w:r>
      <w:r w:rsidR="008834F9">
        <w:rPr>
          <w:rFonts w:eastAsia="MS PGothic"/>
          <w:iCs/>
        </w:rPr>
        <w:t>ent result</w:t>
      </w:r>
      <w:r w:rsidR="00000045">
        <w:rPr>
          <w:rFonts w:eastAsia="MS PGothic"/>
          <w:iCs/>
        </w:rPr>
        <w:t xml:space="preserve"> (i.e. </w:t>
      </w:r>
      <w:r w:rsidR="00366792" w:rsidRPr="00366792">
        <w:rPr>
          <w:i/>
        </w:rPr>
        <w:t>measResultServingCell</w:t>
      </w:r>
      <w:r w:rsidR="0029698B">
        <w:t xml:space="preserve"> including only one PCI</w:t>
      </w:r>
      <w:r w:rsidR="00000045">
        <w:rPr>
          <w:rFonts w:eastAsia="MS PGothic"/>
          <w:iCs/>
        </w:rPr>
        <w:t>)</w:t>
      </w:r>
      <w:r w:rsidR="008834F9">
        <w:rPr>
          <w:rFonts w:eastAsia="MS PGothic"/>
          <w:iCs/>
        </w:rPr>
        <w:t xml:space="preserve"> of the serving cell.</w:t>
      </w:r>
      <w:r w:rsidR="008D1D09">
        <w:rPr>
          <w:rFonts w:eastAsia="MS PGothic"/>
          <w:iCs/>
        </w:rPr>
        <w:t xml:space="preserve"> Then we could have the following options for the UE to indicate the serving cell measurement result</w:t>
      </w:r>
      <w:r w:rsidR="00A41161">
        <w:rPr>
          <w:rFonts w:eastAsia="MS PGothic"/>
          <w:iCs/>
        </w:rPr>
        <w:t>:</w:t>
      </w:r>
    </w:p>
    <w:p w14:paraId="3D6C1956" w14:textId="770A9098" w:rsidR="00A41161" w:rsidRPr="00440B95" w:rsidRDefault="00A41161" w:rsidP="00440B95">
      <w:pPr>
        <w:pStyle w:val="ListParagraph"/>
        <w:numPr>
          <w:ilvl w:val="0"/>
          <w:numId w:val="40"/>
        </w:numPr>
        <w:ind w:firstLineChars="0"/>
        <w:rPr>
          <w:rFonts w:eastAsia="MS PGothic"/>
          <w:iCs/>
        </w:rPr>
      </w:pPr>
      <w:r w:rsidRPr="00440B95">
        <w:rPr>
          <w:rFonts w:eastAsia="MS PGothic"/>
          <w:iCs/>
        </w:rPr>
        <w:t xml:space="preserve">Option 1: The gNB indicates which PCI is included in the </w:t>
      </w:r>
      <w:r w:rsidR="002B009A" w:rsidRPr="00440B95">
        <w:rPr>
          <w:i/>
        </w:rPr>
        <w:t>measResultServingCell</w:t>
      </w:r>
      <w:r w:rsidR="002B009A" w:rsidRPr="00440B95">
        <w:rPr>
          <w:rFonts w:eastAsia="MS PGothic"/>
          <w:iCs/>
        </w:rPr>
        <w:t>.</w:t>
      </w:r>
    </w:p>
    <w:p w14:paraId="6B5A0895" w14:textId="1ABE3059" w:rsidR="002B009A" w:rsidRPr="00440B95" w:rsidRDefault="002B009A" w:rsidP="00440B95">
      <w:pPr>
        <w:pStyle w:val="ListParagraph"/>
        <w:numPr>
          <w:ilvl w:val="0"/>
          <w:numId w:val="40"/>
        </w:numPr>
        <w:ind w:firstLineChars="0"/>
        <w:rPr>
          <w:rFonts w:eastAsia="MS PGothic"/>
          <w:iCs/>
        </w:rPr>
      </w:pPr>
      <w:r w:rsidRPr="00440B95">
        <w:rPr>
          <w:rFonts w:eastAsia="MS PGothic"/>
          <w:iCs/>
        </w:rPr>
        <w:t xml:space="preserve">Option 2: </w:t>
      </w:r>
      <w:r w:rsidR="001C22DD" w:rsidRPr="00440B95">
        <w:rPr>
          <w:rFonts w:eastAsia="MS PGothic"/>
          <w:iCs/>
        </w:rPr>
        <w:t>All available measurement results of multiple PCIs</w:t>
      </w:r>
      <w:r w:rsidR="009943BF" w:rsidRPr="00440B95">
        <w:rPr>
          <w:rFonts w:eastAsia="MS PGothic"/>
          <w:iCs/>
        </w:rPr>
        <w:t xml:space="preserve"> of the serving cell</w:t>
      </w:r>
      <w:r w:rsidR="001C22DD" w:rsidRPr="00440B95">
        <w:rPr>
          <w:rFonts w:eastAsia="MS PGothic"/>
          <w:iCs/>
        </w:rPr>
        <w:t xml:space="preserve"> are reported.</w:t>
      </w:r>
    </w:p>
    <w:p w14:paraId="343C548C" w14:textId="3E946941" w:rsidR="008D1D09" w:rsidRDefault="00DC705B" w:rsidP="0085302D">
      <w:pPr>
        <w:rPr>
          <w:lang w:eastAsia="ko-KR"/>
        </w:rPr>
      </w:pPr>
      <w:r>
        <w:rPr>
          <w:lang w:eastAsia="ko-KR"/>
        </w:rPr>
        <w:t>From our understanding, Option 2 provides more measurement results to the gNB</w:t>
      </w:r>
      <w:r w:rsidR="005E7080">
        <w:rPr>
          <w:lang w:eastAsia="ko-KR"/>
        </w:rPr>
        <w:t>, which would help the gNB to add/remove the serving PCI for a certain serving cell</w:t>
      </w:r>
      <w:r w:rsidR="00EE129D">
        <w:rPr>
          <w:lang w:eastAsia="ko-KR"/>
        </w:rPr>
        <w:t xml:space="preserve">, and is simpler </w:t>
      </w:r>
      <w:r w:rsidR="00D35418">
        <w:rPr>
          <w:lang w:eastAsia="ko-KR"/>
        </w:rPr>
        <w:t>for the UE implementation</w:t>
      </w:r>
      <w:r w:rsidR="005E7080">
        <w:rPr>
          <w:lang w:eastAsia="ko-KR"/>
        </w:rPr>
        <w:t>.</w:t>
      </w:r>
    </w:p>
    <w:p w14:paraId="34BD353B" w14:textId="010CC447" w:rsidR="00DC705B" w:rsidRPr="00CD2753" w:rsidRDefault="00A310E5" w:rsidP="0085302D">
      <w:pPr>
        <w:rPr>
          <w:b/>
          <w:lang w:eastAsia="ko-KR"/>
        </w:rPr>
      </w:pPr>
      <w:r w:rsidRPr="00CD2753">
        <w:rPr>
          <w:b/>
          <w:lang w:eastAsia="ko-KR"/>
        </w:rPr>
        <w:t>Proposal 2:</w:t>
      </w:r>
      <w:r w:rsidR="006A5E10" w:rsidRPr="00CD2753">
        <w:rPr>
          <w:b/>
        </w:rPr>
        <w:t xml:space="preserve"> When multiple PCIs are associated to the same serving cell, </w:t>
      </w:r>
      <w:r w:rsidR="009E3B24" w:rsidRPr="00CD2753">
        <w:rPr>
          <w:rFonts w:eastAsia="MS PGothic"/>
          <w:b/>
          <w:iCs/>
        </w:rPr>
        <w:t>all available measurement results</w:t>
      </w:r>
      <w:r w:rsidR="00171805" w:rsidRPr="00CD2753">
        <w:rPr>
          <w:rFonts w:eastAsia="MS PGothic"/>
          <w:b/>
          <w:iCs/>
        </w:rPr>
        <w:t xml:space="preserve"> of multiple PCIs are included in the serving cell measurement report.</w:t>
      </w:r>
    </w:p>
    <w:p w14:paraId="0EA62C86" w14:textId="42564E17" w:rsidR="00812348" w:rsidRDefault="00F12AF3" w:rsidP="0085302D">
      <w:pPr>
        <w:rPr>
          <w:rFonts w:eastAsia="MS PGothic"/>
          <w:iCs/>
        </w:rPr>
      </w:pPr>
      <w:r>
        <w:rPr>
          <w:lang w:eastAsia="ko-KR"/>
        </w:rPr>
        <w:t>If RAN2 agrees</w:t>
      </w:r>
      <w:r w:rsidR="00F23F4E">
        <w:rPr>
          <w:lang w:eastAsia="ko-KR"/>
        </w:rPr>
        <w:t xml:space="preserve"> to require </w:t>
      </w:r>
      <w:r w:rsidR="00F23F4E" w:rsidRPr="00B858C1">
        <w:rPr>
          <w:lang w:eastAsia="ko-KR"/>
        </w:rPr>
        <w:t xml:space="preserve">the UE to report all </w:t>
      </w:r>
      <w:r w:rsidR="00B858C1" w:rsidRPr="00B858C1">
        <w:rPr>
          <w:rFonts w:eastAsia="MS PGothic"/>
          <w:iCs/>
        </w:rPr>
        <w:t>available measurement results of multiple PCIs</w:t>
      </w:r>
      <w:r w:rsidR="00577196">
        <w:rPr>
          <w:rFonts w:eastAsia="MS PGothic"/>
          <w:iCs/>
        </w:rPr>
        <w:t xml:space="preserve">, RAN2 needs to ask RAN1 on the maximum number of PCIs which can be configured for one serving cell, in order to complete the ASN.1 design (e.g. whether a list of measurement results of PCIs </w:t>
      </w:r>
      <w:r w:rsidR="007449DC">
        <w:rPr>
          <w:rFonts w:eastAsia="MS PGothic"/>
          <w:iCs/>
        </w:rPr>
        <w:t>is</w:t>
      </w:r>
      <w:r w:rsidR="00577196">
        <w:rPr>
          <w:rFonts w:eastAsia="MS PGothic"/>
          <w:iCs/>
        </w:rPr>
        <w:t xml:space="preserve"> added in the </w:t>
      </w:r>
      <w:r w:rsidR="00A168C4">
        <w:rPr>
          <w:rFonts w:eastAsia="MS PGothic"/>
          <w:i/>
          <w:iCs/>
        </w:rPr>
        <w:t>M</w:t>
      </w:r>
      <w:r w:rsidR="00EC7ED9">
        <w:rPr>
          <w:rFonts w:eastAsia="MS PGothic"/>
          <w:i/>
          <w:iCs/>
        </w:rPr>
        <w:t>easResultServMO</w:t>
      </w:r>
      <w:r w:rsidR="00577196">
        <w:rPr>
          <w:rFonts w:eastAsia="MS PGothic"/>
          <w:iCs/>
        </w:rPr>
        <w:t>).</w:t>
      </w:r>
    </w:p>
    <w:p w14:paraId="03FEA023" w14:textId="3A453150" w:rsidR="00F720C1" w:rsidRPr="0072364A" w:rsidRDefault="00F720C1" w:rsidP="0085302D">
      <w:pPr>
        <w:rPr>
          <w:b/>
          <w:lang w:eastAsia="ko-KR"/>
        </w:rPr>
      </w:pPr>
      <w:r w:rsidRPr="0072364A">
        <w:rPr>
          <w:rFonts w:eastAsia="MS PGothic"/>
          <w:b/>
          <w:iCs/>
        </w:rPr>
        <w:t>Proposal 3: Send an LS to RAN1 ask for the maximum number of PCIs which can be configured for one serving cell</w:t>
      </w:r>
      <w:r w:rsidR="000A171C" w:rsidRPr="0072364A">
        <w:rPr>
          <w:rFonts w:eastAsia="MS PGothic"/>
          <w:b/>
          <w:iCs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67E20D41" w14:textId="7A948490" w:rsidR="000F7DF7" w:rsidRPr="00F13B6A" w:rsidRDefault="000F7DF7" w:rsidP="000F7DF7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 w:rsidR="00E261D9">
        <w:rPr>
          <w:b/>
        </w:rPr>
        <w:t>(</w:t>
      </w:r>
      <w:r w:rsidR="00E261D9" w:rsidRPr="00F13B6A">
        <w:rPr>
          <w:b/>
        </w:rPr>
        <w:t xml:space="preserve">including </w:t>
      </w:r>
      <w:r w:rsidR="00E261D9">
        <w:rPr>
          <w:b/>
        </w:rPr>
        <w:t>multiple</w:t>
      </w:r>
      <w:r w:rsidR="00E261D9" w:rsidRPr="00F13B6A">
        <w:rPr>
          <w:b/>
        </w:rPr>
        <w:t xml:space="preserve"> serving cell PCIs</w:t>
      </w:r>
      <w:r w:rsidR="00E261D9"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p w14:paraId="70C2E97B" w14:textId="77777777" w:rsidR="00671E83" w:rsidRDefault="00671E83" w:rsidP="00671E83">
      <w:pPr>
        <w:rPr>
          <w:b/>
          <w:lang w:eastAsia="ko-KR"/>
        </w:rPr>
      </w:pPr>
      <w:r>
        <w:rPr>
          <w:b/>
          <w:lang w:eastAsia="ko-KR"/>
        </w:rPr>
        <w:t xml:space="preserve">Observation 2: In the measurement event configuration, the UE needs to know which measurement result of the serving cell PCI is used for the measurement event evaluation, </w:t>
      </w:r>
      <w:r w:rsidRPr="00F13B6A">
        <w:rPr>
          <w:b/>
        </w:rPr>
        <w:t>when multiple PCIs are associated to the same serving cell.</w:t>
      </w:r>
    </w:p>
    <w:p w14:paraId="0084026F" w14:textId="77777777" w:rsidR="00671E83" w:rsidRDefault="00671E83" w:rsidP="00671E83">
      <w:pPr>
        <w:rPr>
          <w:b/>
          <w:lang w:eastAsia="ko-KR"/>
        </w:rPr>
      </w:pPr>
      <w:r>
        <w:rPr>
          <w:b/>
          <w:lang w:eastAsia="ko-KR"/>
        </w:rPr>
        <w:t>Observation 3: In the measurement report, the UE needs to know which measurement result of the serving cell PCI is reported</w:t>
      </w:r>
      <w:r w:rsidRPr="00F13B6A">
        <w:rPr>
          <w:b/>
        </w:rPr>
        <w:t>, when multiple PCIs are associated to the same serving cell.</w:t>
      </w:r>
    </w:p>
    <w:p w14:paraId="0F71D0B1" w14:textId="77777777" w:rsidR="006C7E3E" w:rsidRPr="00603B11" w:rsidRDefault="006C7E3E" w:rsidP="006C7E3E">
      <w:pPr>
        <w:rPr>
          <w:b/>
          <w:lang w:eastAsia="ko-KR"/>
        </w:rPr>
      </w:pPr>
      <w:r w:rsidRPr="00603B11">
        <w:rPr>
          <w:b/>
          <w:lang w:eastAsia="ko-KR"/>
        </w:rPr>
        <w:t xml:space="preserve">Proposal 1: </w:t>
      </w:r>
      <w:r w:rsidRPr="00603B11">
        <w:rPr>
          <w:b/>
        </w:rPr>
        <w:t>When multiple PCIs are associated to the same serving cell</w:t>
      </w:r>
      <w:r>
        <w:rPr>
          <w:b/>
        </w:rPr>
        <w:t xml:space="preserve">, the gNB indicates which </w:t>
      </w:r>
      <w:r>
        <w:rPr>
          <w:rFonts w:hint="eastAsia"/>
          <w:b/>
        </w:rPr>
        <w:t>PCI</w:t>
      </w:r>
      <w:r>
        <w:rPr>
          <w:b/>
        </w:rPr>
        <w:t xml:space="preserve"> is used for the measurement event evaluation.</w:t>
      </w:r>
    </w:p>
    <w:p w14:paraId="4402AE1F" w14:textId="77777777" w:rsidR="006E4BC3" w:rsidRPr="00CD2753" w:rsidRDefault="006E4BC3" w:rsidP="006E4BC3">
      <w:pPr>
        <w:rPr>
          <w:b/>
          <w:lang w:eastAsia="ko-KR"/>
        </w:rPr>
      </w:pPr>
      <w:r w:rsidRPr="00CD2753">
        <w:rPr>
          <w:b/>
          <w:lang w:eastAsia="ko-KR"/>
        </w:rPr>
        <w:t>Proposal 2:</w:t>
      </w:r>
      <w:r w:rsidRPr="00CD2753">
        <w:rPr>
          <w:b/>
        </w:rPr>
        <w:t xml:space="preserve"> When multiple PCIs are associated to the same serving cell, </w:t>
      </w:r>
      <w:r w:rsidRPr="00CD2753">
        <w:rPr>
          <w:rFonts w:eastAsia="MS PGothic"/>
          <w:b/>
          <w:iCs/>
        </w:rPr>
        <w:t>all available measurement results of multiple PCIs are included in the serving cell measurement report.</w:t>
      </w:r>
    </w:p>
    <w:p w14:paraId="59DED6C5" w14:textId="77777777" w:rsidR="00205771" w:rsidRPr="0072364A" w:rsidRDefault="00205771" w:rsidP="00205771">
      <w:pPr>
        <w:rPr>
          <w:b/>
          <w:lang w:eastAsia="ko-KR"/>
        </w:rPr>
      </w:pPr>
      <w:r w:rsidRPr="0072364A">
        <w:rPr>
          <w:rFonts w:eastAsia="MS PGothic"/>
          <w:b/>
          <w:iCs/>
        </w:rPr>
        <w:t>Proposal 3: Send an LS to RAN1 ask for the maximum number of PCIs which can be configured for one serving cell.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3FFB0A" w14:textId="6EB9D13D" w:rsidR="00E6655C" w:rsidRDefault="00823056" w:rsidP="00A91E65">
      <w:pPr>
        <w:spacing w:afterLines="50" w:line="240" w:lineRule="auto"/>
        <w:jc w:val="left"/>
      </w:pPr>
      <w:r>
        <w:t xml:space="preserve">[1] </w:t>
      </w:r>
      <w:r w:rsidR="00A91E65">
        <w:t>RAN2#114-e meeting minutes.</w:t>
      </w:r>
    </w:p>
    <w:p w14:paraId="699D115C" w14:textId="316B068B" w:rsidR="00A91E65" w:rsidRDefault="00A91E65" w:rsidP="00A91E65">
      <w:pPr>
        <w:spacing w:afterLines="50" w:line="240" w:lineRule="auto"/>
        <w:jc w:val="left"/>
      </w:pPr>
      <w:r>
        <w:t>[2] RAN#92-e meeting minutes.</w:t>
      </w:r>
    </w:p>
    <w:p w14:paraId="71E6E240" w14:textId="7E43410F" w:rsidR="00A62DB8" w:rsidRDefault="00A62DB8" w:rsidP="00A91E65">
      <w:pPr>
        <w:spacing w:afterLines="50" w:line="240" w:lineRule="auto"/>
        <w:jc w:val="left"/>
      </w:pPr>
      <w:r>
        <w:t xml:space="preserve">[3] </w:t>
      </w:r>
      <w:r w:rsidR="00A179D9">
        <w:t>3</w:t>
      </w:r>
      <w:r w:rsidR="00A179D9">
        <w:rPr>
          <w:rFonts w:hint="eastAsia"/>
        </w:rPr>
        <w:t>GPP</w:t>
      </w:r>
      <w:r w:rsidR="00A179D9">
        <w:t xml:space="preserve"> TS 38.331, “</w:t>
      </w:r>
      <w:r w:rsidR="00FD0D24">
        <w:t xml:space="preserve">NR; </w:t>
      </w:r>
      <w:r w:rsidR="00FD0D24" w:rsidRPr="00DE5341">
        <w:t>Radio Resource Control (RRC) protocol specification</w:t>
      </w:r>
      <w:r w:rsidR="00A179D9">
        <w:t>”.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21533" w14:textId="77777777" w:rsidR="00CA6251" w:rsidRDefault="00CA6251">
      <w:pPr>
        <w:spacing w:after="0" w:line="240" w:lineRule="auto"/>
      </w:pPr>
      <w:r>
        <w:separator/>
      </w:r>
    </w:p>
  </w:endnote>
  <w:endnote w:type="continuationSeparator" w:id="0">
    <w:p w14:paraId="0963236A" w14:textId="77777777" w:rsidR="00CA6251" w:rsidRDefault="00CA6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A5046" w14:textId="77777777" w:rsidR="00CA6251" w:rsidRDefault="00CA6251">
      <w:pPr>
        <w:spacing w:after="0" w:line="240" w:lineRule="auto"/>
      </w:pPr>
      <w:r>
        <w:separator/>
      </w:r>
    </w:p>
  </w:footnote>
  <w:footnote w:type="continuationSeparator" w:id="0">
    <w:p w14:paraId="18351472" w14:textId="77777777" w:rsidR="00CA6251" w:rsidRDefault="00CA6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8"/>
  </w:num>
  <w:num w:numId="8">
    <w:abstractNumId w:val="23"/>
  </w:num>
  <w:num w:numId="9">
    <w:abstractNumId w:val="5"/>
  </w:num>
  <w:num w:numId="10">
    <w:abstractNumId w:val="4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9"/>
  </w:num>
  <w:num w:numId="18">
    <w:abstractNumId w:val="0"/>
  </w:num>
  <w:num w:numId="19">
    <w:abstractNumId w:val="0"/>
  </w:num>
  <w:num w:numId="20">
    <w:abstractNumId w:val="17"/>
  </w:num>
  <w:num w:numId="21">
    <w:abstractNumId w:val="0"/>
  </w:num>
  <w:num w:numId="22">
    <w:abstractNumId w:val="1"/>
  </w:num>
  <w:num w:numId="23">
    <w:abstractNumId w:val="3"/>
  </w:num>
  <w:num w:numId="24">
    <w:abstractNumId w:val="20"/>
  </w:num>
  <w:num w:numId="25">
    <w:abstractNumId w:val="10"/>
  </w:num>
  <w:num w:numId="26">
    <w:abstractNumId w:val="6"/>
  </w:num>
  <w:num w:numId="27">
    <w:abstractNumId w:val="21"/>
  </w:num>
  <w:num w:numId="28">
    <w:abstractNumId w:val="0"/>
  </w:num>
  <w:num w:numId="29">
    <w:abstractNumId w:val="22"/>
  </w:num>
  <w:num w:numId="30">
    <w:abstractNumId w:val="0"/>
  </w:num>
  <w:num w:numId="31">
    <w:abstractNumId w:val="0"/>
  </w:num>
  <w:num w:numId="32">
    <w:abstractNumId w:val="26"/>
  </w:num>
  <w:num w:numId="33">
    <w:abstractNumId w:val="15"/>
  </w:num>
  <w:num w:numId="34">
    <w:abstractNumId w:val="8"/>
  </w:num>
  <w:num w:numId="35">
    <w:abstractNumId w:val="0"/>
  </w:num>
  <w:num w:numId="36">
    <w:abstractNumId w:val="0"/>
  </w:num>
  <w:num w:numId="37">
    <w:abstractNumId w:val="16"/>
  </w:num>
  <w:num w:numId="38">
    <w:abstractNumId w:val="11"/>
  </w:num>
  <w:num w:numId="39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954"/>
    <w:rsid w:val="006E3B29"/>
    <w:rsid w:val="006E3B9D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5F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3623"/>
    <w:rsid w:val="00EE3B58"/>
    <w:rsid w:val="00EE40CD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3161-30E7-41AD-BE4B-C3C976E1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4055</TotalTime>
  <Pages>5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2686</cp:revision>
  <cp:lastPrinted>2018-04-04T09:40:00Z</cp:lastPrinted>
  <dcterms:created xsi:type="dcterms:W3CDTF">2018-11-01T12:39:00Z</dcterms:created>
  <dcterms:modified xsi:type="dcterms:W3CDTF">2021-08-06T05:51:00Z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